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E5C8" w14:textId="77777777" w:rsidR="00EA5418" w:rsidRPr="00713DED" w:rsidRDefault="00260DD0" w:rsidP="00BF525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056042" w:rsidRPr="00713DED">
        <w:rPr>
          <w:rFonts w:ascii="Arial" w:hAnsi="Arial" w:cs="Arial"/>
          <w:sz w:val="18"/>
          <w:szCs w:val="18"/>
        </w:rPr>
        <w:t>Introducción</w:t>
      </w:r>
    </w:p>
    <w:p w14:paraId="4DA423CA" w14:textId="77777777" w:rsidR="00737FE4" w:rsidRPr="00713DED" w:rsidRDefault="00737FE4" w:rsidP="009B51C3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La comisión Estatal de Agua de Tlaxcala es un organismo</w:t>
      </w:r>
      <w:r w:rsidRPr="00713DED">
        <w:rPr>
          <w:rStyle w:val="apple-converted-space"/>
          <w:rFonts w:ascii="Arial" w:hAnsi="Arial" w:cs="Arial"/>
          <w:sz w:val="18"/>
          <w:szCs w:val="18"/>
        </w:rPr>
        <w:t> </w:t>
      </w:r>
      <w:r w:rsidRPr="00713DED">
        <w:rPr>
          <w:rStyle w:val="Textoennegrita"/>
          <w:rFonts w:ascii="Arial" w:hAnsi="Arial" w:cs="Arial"/>
          <w:b w:val="0"/>
          <w:sz w:val="18"/>
          <w:szCs w:val="18"/>
        </w:rPr>
        <w:t>público descentralizado</w:t>
      </w:r>
      <w:r w:rsidRPr="00713DED">
        <w:rPr>
          <w:rStyle w:val="Textoennegrita"/>
          <w:rFonts w:ascii="Arial" w:hAnsi="Arial" w:cs="Arial"/>
          <w:sz w:val="18"/>
          <w:szCs w:val="18"/>
        </w:rPr>
        <w:t>,</w:t>
      </w:r>
      <w:r w:rsidRPr="00713DED">
        <w:rPr>
          <w:rStyle w:val="apple-converted-space"/>
          <w:rFonts w:ascii="Arial" w:hAnsi="Arial" w:cs="Arial"/>
          <w:sz w:val="18"/>
          <w:szCs w:val="18"/>
        </w:rPr>
        <w:t> </w:t>
      </w:r>
      <w:r w:rsidRPr="00713DED">
        <w:rPr>
          <w:rFonts w:ascii="Arial" w:hAnsi="Arial" w:cs="Arial"/>
          <w:sz w:val="18"/>
          <w:szCs w:val="18"/>
        </w:rPr>
        <w:t>que tiene por objeto ejercer las atribuciones en materia hídrica y fungir como órgano superior encargado de normar el uso de los recursos hídricos en el</w:t>
      </w:r>
      <w:r w:rsidRPr="00713DED">
        <w:rPr>
          <w:rStyle w:val="apple-converted-space"/>
          <w:rFonts w:ascii="Arial" w:hAnsi="Arial" w:cs="Arial"/>
          <w:sz w:val="18"/>
          <w:szCs w:val="18"/>
        </w:rPr>
        <w:t> </w:t>
      </w:r>
      <w:r w:rsidRPr="00713DED">
        <w:rPr>
          <w:rStyle w:val="Textoennegrita"/>
          <w:rFonts w:ascii="Arial" w:hAnsi="Arial" w:cs="Arial"/>
          <w:b w:val="0"/>
          <w:sz w:val="18"/>
          <w:szCs w:val="18"/>
        </w:rPr>
        <w:t>Estado de Tlaxcala</w:t>
      </w:r>
      <w:r w:rsidR="005243DE" w:rsidRPr="00713DED">
        <w:rPr>
          <w:rFonts w:ascii="Arial" w:hAnsi="Arial" w:cs="Arial"/>
          <w:sz w:val="18"/>
          <w:szCs w:val="18"/>
        </w:rPr>
        <w:t xml:space="preserve"> con la finalidad de regular la gestión integral de los recursos hídricos, con especial énfasis en la promoción del valor social, ambiental y económico de los recursos, la participación y la corresponsabilidad de usuarios, instancias reguladoras y normativas de los gobiernos en sus diferentes órdenes, en el marco del desarrollo sustentable del Estado de Tlaxcala.</w:t>
      </w:r>
    </w:p>
    <w:p w14:paraId="2CFDD938" w14:textId="6CF7FC52" w:rsidR="00056042" w:rsidRPr="00713DED" w:rsidRDefault="00737FE4" w:rsidP="00BF5256">
      <w:pPr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C</w:t>
      </w:r>
      <w:r w:rsidR="009D6BB5" w:rsidRPr="00713DED">
        <w:rPr>
          <w:rFonts w:ascii="Arial" w:hAnsi="Arial" w:cs="Arial"/>
          <w:sz w:val="18"/>
          <w:szCs w:val="18"/>
        </w:rPr>
        <w:t xml:space="preserve">omo </w:t>
      </w:r>
      <w:r w:rsidR="00D77A8E">
        <w:rPr>
          <w:rFonts w:ascii="Arial" w:hAnsi="Arial" w:cs="Arial"/>
          <w:sz w:val="18"/>
          <w:szCs w:val="18"/>
        </w:rPr>
        <w:t>antecedente</w:t>
      </w:r>
      <w:r w:rsidR="009D6BB5" w:rsidRPr="00713DED">
        <w:rPr>
          <w:rFonts w:ascii="Arial" w:hAnsi="Arial" w:cs="Arial"/>
          <w:sz w:val="18"/>
          <w:szCs w:val="18"/>
        </w:rPr>
        <w:t>, existe una sobre explotación de los recursos naturales, que en la zona sur del Estado se empieza a manifestar en poca disponibilidad, por lo que se han dirigido recursos para la zona norte donde existe mayor disponibilidad del líquido, sin embargo, estos esfuerzos pueden presentar nuevas presiones sobre l</w:t>
      </w:r>
      <w:r w:rsidR="00AE12C9" w:rsidRPr="00713DED">
        <w:rPr>
          <w:rFonts w:ascii="Arial" w:hAnsi="Arial" w:cs="Arial"/>
          <w:sz w:val="18"/>
          <w:szCs w:val="18"/>
        </w:rPr>
        <w:t>o</w:t>
      </w:r>
      <w:r w:rsidR="009D6BB5" w:rsidRPr="00713DED">
        <w:rPr>
          <w:rFonts w:ascii="Arial" w:hAnsi="Arial" w:cs="Arial"/>
          <w:sz w:val="18"/>
          <w:szCs w:val="18"/>
        </w:rPr>
        <w:t xml:space="preserve">s mantos señalados y en el mediano plazo, problemas de abasto.   </w:t>
      </w:r>
      <w:r w:rsidR="00B57A54" w:rsidRPr="00713DED">
        <w:rPr>
          <w:rFonts w:ascii="Arial" w:hAnsi="Arial" w:cs="Arial"/>
          <w:sz w:val="18"/>
          <w:szCs w:val="18"/>
        </w:rPr>
        <w:t>Los municipios</w:t>
      </w:r>
      <w:r w:rsidR="009D6BB5" w:rsidRPr="00713DED">
        <w:rPr>
          <w:rFonts w:ascii="Arial" w:hAnsi="Arial" w:cs="Arial"/>
          <w:sz w:val="18"/>
          <w:szCs w:val="18"/>
        </w:rPr>
        <w:t xml:space="preserve"> y comunidades aún desconocen de forma precisa y clara el funcionamiento de sus sistemas de abastecimiento de agua potable, como acceder a los beneficios de los </w:t>
      </w:r>
      <w:r w:rsidR="00EE0DD9" w:rsidRPr="00713DED">
        <w:rPr>
          <w:rFonts w:ascii="Arial" w:hAnsi="Arial" w:cs="Arial"/>
          <w:sz w:val="18"/>
          <w:szCs w:val="18"/>
        </w:rPr>
        <w:t>programas de</w:t>
      </w:r>
      <w:r w:rsidR="009D6BB5" w:rsidRPr="00713DED">
        <w:rPr>
          <w:rFonts w:ascii="Arial" w:hAnsi="Arial" w:cs="Arial"/>
          <w:sz w:val="18"/>
          <w:szCs w:val="18"/>
        </w:rPr>
        <w:t xml:space="preserve"> apoyo de la federación, así como la actualización de sus padrones de usuarios y como mejorar su recaudación. </w:t>
      </w:r>
      <w:r w:rsidR="00B76ECB" w:rsidRPr="00713DED">
        <w:rPr>
          <w:rFonts w:ascii="Arial" w:hAnsi="Arial" w:cs="Arial"/>
          <w:sz w:val="18"/>
          <w:szCs w:val="18"/>
        </w:rPr>
        <w:t>Es por ello que para dar cumplimiento a lo establecido en el Plan Estatal de Desarrollo la Comisión Estatal de Agua d</w:t>
      </w:r>
      <w:r w:rsidR="00AE12C9" w:rsidRPr="00713DED">
        <w:rPr>
          <w:rFonts w:ascii="Arial" w:hAnsi="Arial" w:cs="Arial"/>
          <w:sz w:val="18"/>
          <w:szCs w:val="18"/>
        </w:rPr>
        <w:t>urante el ejercicio 20</w:t>
      </w:r>
      <w:r w:rsidR="00A679CD">
        <w:rPr>
          <w:rFonts w:ascii="Arial" w:hAnsi="Arial" w:cs="Arial"/>
          <w:sz w:val="18"/>
          <w:szCs w:val="18"/>
        </w:rPr>
        <w:t>20</w:t>
      </w:r>
      <w:r w:rsidR="00AE12C9" w:rsidRPr="00713DED">
        <w:rPr>
          <w:rFonts w:ascii="Arial" w:hAnsi="Arial" w:cs="Arial"/>
          <w:sz w:val="18"/>
          <w:szCs w:val="18"/>
        </w:rPr>
        <w:t xml:space="preserve"> </w:t>
      </w:r>
      <w:r w:rsidR="00B76ECB" w:rsidRPr="00713DED">
        <w:rPr>
          <w:rFonts w:ascii="Arial" w:hAnsi="Arial" w:cs="Arial"/>
          <w:sz w:val="18"/>
          <w:szCs w:val="18"/>
        </w:rPr>
        <w:t>estableció</w:t>
      </w:r>
      <w:r w:rsidR="009D6BB5" w:rsidRPr="00713DED">
        <w:rPr>
          <w:rFonts w:ascii="Arial" w:hAnsi="Arial" w:cs="Arial"/>
          <w:sz w:val="18"/>
          <w:szCs w:val="18"/>
        </w:rPr>
        <w:t xml:space="preserve"> diversos programas de apoyo como: Actualización de los Sistemas de Abastecimiento de Agua Potable en el Estado, Asesoría y capacitación permanente en aspectos técnicos para llevar a cabo la rehabilitación de los mismos, así como concientizar a la población a través del programa de cultura del agua, con ello se pretende brindar un enfoque integral al uso y manejo del vital líquido</w:t>
      </w:r>
      <w:r w:rsidR="00B57A54">
        <w:rPr>
          <w:rFonts w:ascii="Arial" w:hAnsi="Arial" w:cs="Arial"/>
          <w:sz w:val="18"/>
          <w:szCs w:val="18"/>
        </w:rPr>
        <w:t>.</w:t>
      </w:r>
    </w:p>
    <w:p w14:paraId="21831535" w14:textId="3FA00EF2" w:rsidR="009445D1" w:rsidRPr="00713DED" w:rsidRDefault="00B76ECB" w:rsidP="00BF5256">
      <w:pPr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color w:val="000000" w:themeColor="text1"/>
          <w:sz w:val="18"/>
          <w:szCs w:val="18"/>
        </w:rPr>
        <w:t>De igual forma e</w:t>
      </w:r>
      <w:r w:rsidR="009445D1" w:rsidRPr="00713DED">
        <w:rPr>
          <w:rFonts w:ascii="Arial" w:hAnsi="Arial" w:cs="Arial"/>
          <w:color w:val="000000" w:themeColor="text1"/>
          <w:sz w:val="18"/>
          <w:szCs w:val="18"/>
        </w:rPr>
        <w:t>n el 20</w:t>
      </w:r>
      <w:r w:rsidR="007F2A9F">
        <w:rPr>
          <w:rFonts w:ascii="Arial" w:hAnsi="Arial" w:cs="Arial"/>
          <w:color w:val="000000" w:themeColor="text1"/>
          <w:sz w:val="18"/>
          <w:szCs w:val="18"/>
        </w:rPr>
        <w:t>2</w:t>
      </w:r>
      <w:r w:rsidR="00A679CD">
        <w:rPr>
          <w:rFonts w:ascii="Arial" w:hAnsi="Arial" w:cs="Arial"/>
          <w:color w:val="000000" w:themeColor="text1"/>
          <w:sz w:val="18"/>
          <w:szCs w:val="18"/>
        </w:rPr>
        <w:t>1</w:t>
      </w:r>
      <w:r w:rsidR="009445D1" w:rsidRPr="00713DED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r w:rsidR="003F4C75">
        <w:rPr>
          <w:rFonts w:ascii="Arial" w:hAnsi="Arial" w:cs="Arial"/>
          <w:color w:val="000000" w:themeColor="text1"/>
          <w:sz w:val="18"/>
          <w:szCs w:val="18"/>
        </w:rPr>
        <w:t>continua</w:t>
      </w:r>
      <w:r w:rsidR="009445D1" w:rsidRPr="00713DE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F4C75">
        <w:rPr>
          <w:rFonts w:ascii="Arial" w:hAnsi="Arial" w:cs="Arial"/>
          <w:color w:val="000000" w:themeColor="text1"/>
          <w:sz w:val="18"/>
          <w:szCs w:val="18"/>
        </w:rPr>
        <w:t>con las acciones</w:t>
      </w:r>
      <w:r w:rsidR="009445D1" w:rsidRPr="00713DED">
        <w:rPr>
          <w:rFonts w:ascii="Arial" w:hAnsi="Arial" w:cs="Arial"/>
          <w:sz w:val="18"/>
          <w:szCs w:val="18"/>
        </w:rPr>
        <w:t xml:space="preserve"> de rehabilitación de la infraestructura hidráulica estatal a través de</w:t>
      </w:r>
      <w:r w:rsidRPr="00713DED">
        <w:rPr>
          <w:rFonts w:ascii="Arial" w:hAnsi="Arial" w:cs="Arial"/>
          <w:sz w:val="18"/>
          <w:szCs w:val="18"/>
        </w:rPr>
        <w:t xml:space="preserve"> la coordinación con los ayuntamientos del Estado realizando</w:t>
      </w:r>
      <w:r w:rsidR="009445D1" w:rsidRPr="00713DED">
        <w:rPr>
          <w:rFonts w:ascii="Arial" w:hAnsi="Arial" w:cs="Arial"/>
          <w:sz w:val="18"/>
          <w:szCs w:val="18"/>
        </w:rPr>
        <w:t xml:space="preserve"> </w:t>
      </w:r>
      <w:r w:rsidRPr="00713DED">
        <w:rPr>
          <w:rFonts w:ascii="Arial" w:hAnsi="Arial" w:cs="Arial"/>
          <w:sz w:val="18"/>
          <w:szCs w:val="18"/>
        </w:rPr>
        <w:t xml:space="preserve">diversas </w:t>
      </w:r>
      <w:r w:rsidR="009445D1" w:rsidRPr="00713DED">
        <w:rPr>
          <w:rFonts w:ascii="Arial" w:hAnsi="Arial" w:cs="Arial"/>
          <w:sz w:val="18"/>
          <w:szCs w:val="18"/>
        </w:rPr>
        <w:t>acciones en</w:t>
      </w:r>
      <w:r w:rsidRPr="00713DED">
        <w:rPr>
          <w:rFonts w:ascii="Arial" w:hAnsi="Arial" w:cs="Arial"/>
          <w:sz w:val="18"/>
          <w:szCs w:val="18"/>
        </w:rPr>
        <w:t>tre</w:t>
      </w:r>
      <w:r w:rsidR="009445D1" w:rsidRPr="00713DED">
        <w:rPr>
          <w:rFonts w:ascii="Arial" w:hAnsi="Arial" w:cs="Arial"/>
          <w:sz w:val="18"/>
          <w:szCs w:val="18"/>
        </w:rPr>
        <w:t xml:space="preserve"> las que destacan la rehabilitación de  pozos de agua potable, y el equipamiento con  bombas de alta eficiencia,  la rehabilitación de  tanques, </w:t>
      </w:r>
      <w:r w:rsidR="009445D1" w:rsidRPr="00713DED">
        <w:rPr>
          <w:rFonts w:ascii="Arial" w:hAnsi="Arial" w:cs="Arial"/>
          <w:color w:val="000000" w:themeColor="text1"/>
          <w:sz w:val="18"/>
          <w:szCs w:val="18"/>
        </w:rPr>
        <w:t xml:space="preserve">sustitución de drenaje en  calles, que ahora evita que el agua circule por calles </w:t>
      </w:r>
      <w:r w:rsidR="009445D1" w:rsidRPr="00713DED">
        <w:rPr>
          <w:rFonts w:ascii="Arial" w:hAnsi="Arial" w:cs="Arial"/>
          <w:sz w:val="18"/>
          <w:szCs w:val="18"/>
        </w:rPr>
        <w:t xml:space="preserve">Adicionalmente </w:t>
      </w:r>
      <w:r w:rsidR="008856C7">
        <w:rPr>
          <w:rFonts w:ascii="Arial" w:hAnsi="Arial" w:cs="Arial"/>
          <w:sz w:val="18"/>
          <w:szCs w:val="18"/>
        </w:rPr>
        <w:t>lograr</w:t>
      </w:r>
      <w:r w:rsidR="009445D1" w:rsidRPr="00713DED">
        <w:rPr>
          <w:rFonts w:ascii="Arial" w:hAnsi="Arial" w:cs="Arial"/>
          <w:sz w:val="18"/>
          <w:szCs w:val="18"/>
        </w:rPr>
        <w:t xml:space="preserve"> captar recursos del programa federalizado de </w:t>
      </w:r>
      <w:r w:rsidR="003F4C75" w:rsidRPr="003F4C75">
        <w:rPr>
          <w:rFonts w:ascii="Arial" w:hAnsi="Arial" w:cs="Arial"/>
          <w:sz w:val="18"/>
          <w:szCs w:val="18"/>
        </w:rPr>
        <w:t>Programa de Desarrollo Integral de organismos operadores</w:t>
      </w:r>
      <w:r w:rsidR="009445D1" w:rsidRPr="00713DED">
        <w:rPr>
          <w:rFonts w:ascii="Arial" w:hAnsi="Arial" w:cs="Arial"/>
          <w:sz w:val="18"/>
          <w:szCs w:val="18"/>
        </w:rPr>
        <w:t xml:space="preserve"> de organismos operadores (</w:t>
      </w:r>
      <w:r w:rsidR="005243DE" w:rsidRPr="00713DED">
        <w:rPr>
          <w:rFonts w:ascii="Arial" w:hAnsi="Arial" w:cs="Arial"/>
          <w:sz w:val="18"/>
          <w:szCs w:val="18"/>
        </w:rPr>
        <w:t>PRO</w:t>
      </w:r>
      <w:r w:rsidR="003F4C75">
        <w:rPr>
          <w:rFonts w:ascii="Arial" w:hAnsi="Arial" w:cs="Arial"/>
          <w:sz w:val="18"/>
          <w:szCs w:val="18"/>
        </w:rPr>
        <w:t>DI</w:t>
      </w:r>
      <w:r w:rsidR="009445D1" w:rsidRPr="00713DED">
        <w:rPr>
          <w:rFonts w:ascii="Arial" w:hAnsi="Arial" w:cs="Arial"/>
          <w:sz w:val="18"/>
          <w:szCs w:val="18"/>
        </w:rPr>
        <w:t xml:space="preserve">), </w:t>
      </w:r>
      <w:r w:rsidRPr="00713DED">
        <w:rPr>
          <w:rFonts w:ascii="Arial" w:hAnsi="Arial" w:cs="Arial"/>
          <w:sz w:val="18"/>
          <w:szCs w:val="18"/>
        </w:rPr>
        <w:t xml:space="preserve"> </w:t>
      </w:r>
      <w:r w:rsidR="008856C7">
        <w:rPr>
          <w:rFonts w:ascii="Arial" w:hAnsi="Arial" w:cs="Arial"/>
          <w:sz w:val="18"/>
          <w:szCs w:val="18"/>
        </w:rPr>
        <w:t>apartado escuela del agua.</w:t>
      </w:r>
      <w:r w:rsidRPr="00713DED">
        <w:rPr>
          <w:rFonts w:ascii="Arial" w:hAnsi="Arial" w:cs="Arial"/>
          <w:sz w:val="18"/>
          <w:szCs w:val="18"/>
        </w:rPr>
        <w:t xml:space="preserve"> </w:t>
      </w:r>
    </w:p>
    <w:p w14:paraId="3CD16041" w14:textId="57C8FF5A" w:rsidR="007F2A9F" w:rsidRDefault="00737FE4" w:rsidP="00BF5256">
      <w:pPr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  <w:shd w:val="clear" w:color="auto" w:fill="FFFFFF"/>
        </w:rPr>
        <w:t>Con el objetivo de promover el cuidado del agua a través de estrategias que permitan el trabajo en conjunto con la ciudadanía, la Comisión Estatal de Agua ofrece talleres dirigidos a escuelas, municipios y empresas, que ayudan a fortalecer la cultura en materia hídrica</w:t>
      </w:r>
      <w:r w:rsidRPr="00713DED">
        <w:rPr>
          <w:rFonts w:ascii="Arial" w:hAnsi="Arial" w:cs="Arial"/>
          <w:color w:val="747474"/>
          <w:sz w:val="18"/>
          <w:szCs w:val="18"/>
          <w:shd w:val="clear" w:color="auto" w:fill="FFFFFF"/>
        </w:rPr>
        <w:t xml:space="preserve">. </w:t>
      </w:r>
      <w:r w:rsidR="009445D1" w:rsidRPr="00713DED">
        <w:rPr>
          <w:rFonts w:ascii="Arial" w:hAnsi="Arial" w:cs="Arial"/>
          <w:sz w:val="18"/>
          <w:szCs w:val="18"/>
        </w:rPr>
        <w:t>Dentro del Programa de asesoría en aspectos técnicos administrativos, financieros y de cultura del agua en el 20</w:t>
      </w:r>
      <w:r w:rsidR="007F2A9F">
        <w:rPr>
          <w:rFonts w:ascii="Arial" w:hAnsi="Arial" w:cs="Arial"/>
          <w:sz w:val="18"/>
          <w:szCs w:val="18"/>
        </w:rPr>
        <w:t>2</w:t>
      </w:r>
      <w:r w:rsidR="00A679CD">
        <w:rPr>
          <w:rFonts w:ascii="Arial" w:hAnsi="Arial" w:cs="Arial"/>
          <w:sz w:val="18"/>
          <w:szCs w:val="18"/>
        </w:rPr>
        <w:t>1</w:t>
      </w:r>
      <w:r w:rsidR="009445D1" w:rsidRPr="00713DED">
        <w:rPr>
          <w:rFonts w:ascii="Arial" w:hAnsi="Arial" w:cs="Arial"/>
          <w:sz w:val="18"/>
          <w:szCs w:val="18"/>
        </w:rPr>
        <w:t xml:space="preserve"> se consolida el programa de capacitación y asesoría </w:t>
      </w:r>
      <w:r w:rsidR="005E0CF2" w:rsidRPr="00713DED">
        <w:rPr>
          <w:rFonts w:ascii="Arial" w:hAnsi="Arial" w:cs="Arial"/>
          <w:sz w:val="18"/>
          <w:szCs w:val="18"/>
        </w:rPr>
        <w:t>brindando asesorías</w:t>
      </w:r>
      <w:r w:rsidR="009445D1" w:rsidRPr="00713DED">
        <w:rPr>
          <w:rFonts w:ascii="Arial" w:hAnsi="Arial" w:cs="Arial"/>
          <w:sz w:val="18"/>
          <w:szCs w:val="18"/>
        </w:rPr>
        <w:t xml:space="preserve"> técnico-administrativo a las comunidades que cuentan con algún sistema de abastecimiento o saneamiento de agua</w:t>
      </w:r>
      <w:r w:rsidR="00734218">
        <w:rPr>
          <w:rFonts w:ascii="Arial" w:hAnsi="Arial" w:cs="Arial"/>
          <w:sz w:val="18"/>
          <w:szCs w:val="18"/>
        </w:rPr>
        <w:t>.</w:t>
      </w:r>
    </w:p>
    <w:p w14:paraId="47667AD3" w14:textId="77777777" w:rsidR="009445D1" w:rsidRPr="00713DED" w:rsidRDefault="002620B0" w:rsidP="00BF5256">
      <w:pPr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 xml:space="preserve">Con estas acciones la comisión Estatal de Agua de Tlaxcala dentro de sus </w:t>
      </w:r>
      <w:r w:rsidR="005E0CF2" w:rsidRPr="00713DED">
        <w:rPr>
          <w:rFonts w:ascii="Arial" w:hAnsi="Arial" w:cs="Arial"/>
          <w:sz w:val="18"/>
          <w:szCs w:val="18"/>
        </w:rPr>
        <w:t>atribuciones que</w:t>
      </w:r>
      <w:r w:rsidRPr="00713DED">
        <w:rPr>
          <w:rFonts w:ascii="Arial" w:hAnsi="Arial" w:cs="Arial"/>
          <w:sz w:val="18"/>
          <w:szCs w:val="18"/>
        </w:rPr>
        <w:t xml:space="preserve"> le competen en la Ley de aguas del Estado de Tlaxcala, fija y cumple las políticas, estrategias, planes y programas del Gobierno del Estado para la Administración de las aguas, uso, aprovechamiento y preservación de las mismas, para su consumo humano, industrial y de servicios.</w:t>
      </w:r>
    </w:p>
    <w:p w14:paraId="4182C8FE" w14:textId="71472EE2" w:rsidR="00BF5256" w:rsidRPr="00713DED" w:rsidRDefault="00BF5256" w:rsidP="00BF52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De conformidad a lo establecido en la Ley de Contabilidad Gubernamental la Comisión Estatal de Agua de Tlaxcala presenta dentro de esta cuenta pública la información contable, presupuestaria, programática y anexos correspondientes al ejercicio 20</w:t>
      </w:r>
      <w:r w:rsidR="007F2A9F">
        <w:rPr>
          <w:rFonts w:ascii="Arial" w:hAnsi="Arial" w:cs="Arial"/>
          <w:sz w:val="18"/>
          <w:szCs w:val="18"/>
        </w:rPr>
        <w:t>2</w:t>
      </w:r>
      <w:r w:rsidR="00A679CD">
        <w:rPr>
          <w:rFonts w:ascii="Arial" w:hAnsi="Arial" w:cs="Arial"/>
          <w:sz w:val="18"/>
          <w:szCs w:val="18"/>
        </w:rPr>
        <w:t>1</w:t>
      </w:r>
      <w:r w:rsidRPr="00713DED">
        <w:rPr>
          <w:rFonts w:ascii="Arial" w:hAnsi="Arial" w:cs="Arial"/>
          <w:sz w:val="18"/>
          <w:szCs w:val="18"/>
        </w:rPr>
        <w:t xml:space="preserve"> como a continuación se detalla: </w:t>
      </w:r>
    </w:p>
    <w:p w14:paraId="51659808" w14:textId="77777777" w:rsidR="00BF5256" w:rsidRPr="00713DED" w:rsidRDefault="00BF5256" w:rsidP="00BF5256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1.-Información contable</w:t>
      </w:r>
      <w:r w:rsidR="00BB2713" w:rsidRPr="00713DED">
        <w:rPr>
          <w:rFonts w:ascii="Arial" w:hAnsi="Arial" w:cs="Arial"/>
          <w:sz w:val="18"/>
          <w:szCs w:val="18"/>
        </w:rPr>
        <w:t>:</w:t>
      </w:r>
      <w:r w:rsidRPr="00713DED">
        <w:rPr>
          <w:rFonts w:ascii="Arial" w:hAnsi="Arial" w:cs="Arial"/>
          <w:sz w:val="18"/>
          <w:szCs w:val="18"/>
        </w:rPr>
        <w:t xml:space="preserve"> </w:t>
      </w:r>
    </w:p>
    <w:p w14:paraId="418649FE" w14:textId="77777777" w:rsidR="00BF5256" w:rsidRPr="00713DED" w:rsidRDefault="00BF5256" w:rsidP="00BF52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de actividades</w:t>
      </w:r>
    </w:p>
    <w:p w14:paraId="57D15C01" w14:textId="77777777" w:rsidR="00BF5256" w:rsidRPr="00713DED" w:rsidRDefault="00BF5256" w:rsidP="00BF5256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de situación financiera</w:t>
      </w:r>
    </w:p>
    <w:p w14:paraId="15C37E30" w14:textId="77777777" w:rsidR="00BF5256" w:rsidRPr="00713DED" w:rsidRDefault="00BF5256" w:rsidP="00BF525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de cambios en la situación financiera</w:t>
      </w:r>
    </w:p>
    <w:p w14:paraId="07CCB987" w14:textId="77777777" w:rsidR="00BF5256" w:rsidRPr="00713DED" w:rsidRDefault="00BF5256" w:rsidP="00DC32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analítico del activo</w:t>
      </w:r>
    </w:p>
    <w:p w14:paraId="53F62B76" w14:textId="77777777" w:rsidR="00BF5256" w:rsidRPr="00713DED" w:rsidRDefault="00BF5256" w:rsidP="00DC32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analítico de la deuda y otros pasivos</w:t>
      </w:r>
    </w:p>
    <w:p w14:paraId="25EE2948" w14:textId="77777777" w:rsidR="00BF5256" w:rsidRPr="00713DED" w:rsidRDefault="00BF5256" w:rsidP="00DC32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lastRenderedPageBreak/>
        <w:t>Estado de variación en la hacienda pública</w:t>
      </w:r>
    </w:p>
    <w:p w14:paraId="3CB279B6" w14:textId="77777777" w:rsidR="00BF5256" w:rsidRPr="00713DED" w:rsidRDefault="00BF5256" w:rsidP="00DC32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de flujos de efectivo.</w:t>
      </w:r>
    </w:p>
    <w:p w14:paraId="25F40AB1" w14:textId="77777777" w:rsidR="00BF5256" w:rsidRPr="00713DED" w:rsidRDefault="00BF5256" w:rsidP="00DC32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Informes sobre pasivos contingentes</w:t>
      </w:r>
    </w:p>
    <w:p w14:paraId="1E4AFE65" w14:textId="77777777" w:rsidR="00BF5256" w:rsidRPr="00713DED" w:rsidRDefault="00BF5256" w:rsidP="00DC323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Notas a los estados financieros</w:t>
      </w:r>
    </w:p>
    <w:p w14:paraId="3E0E3737" w14:textId="77777777" w:rsidR="00DC3238" w:rsidRPr="00713DED" w:rsidRDefault="00DC3238" w:rsidP="00DC3238">
      <w:pPr>
        <w:pStyle w:val="Prrafodelista"/>
        <w:autoSpaceDE w:val="0"/>
        <w:autoSpaceDN w:val="0"/>
        <w:adjustRightInd w:val="0"/>
        <w:spacing w:before="80" w:after="0"/>
        <w:ind w:left="714"/>
        <w:jc w:val="both"/>
        <w:rPr>
          <w:rFonts w:ascii="Arial" w:hAnsi="Arial" w:cs="Arial"/>
          <w:sz w:val="18"/>
          <w:szCs w:val="18"/>
        </w:rPr>
      </w:pPr>
    </w:p>
    <w:p w14:paraId="4269209B" w14:textId="77777777" w:rsidR="00DC3238" w:rsidRPr="00713DED" w:rsidRDefault="00DC3238" w:rsidP="00DC3238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2.-</w:t>
      </w:r>
      <w:r w:rsidR="00BF5256" w:rsidRPr="00713DED">
        <w:rPr>
          <w:rFonts w:ascii="Arial" w:hAnsi="Arial" w:cs="Arial"/>
          <w:sz w:val="18"/>
          <w:szCs w:val="18"/>
        </w:rPr>
        <w:t xml:space="preserve"> </w:t>
      </w:r>
      <w:r w:rsidRPr="00713DED">
        <w:rPr>
          <w:rFonts w:ascii="Arial" w:hAnsi="Arial" w:cs="Arial"/>
          <w:sz w:val="18"/>
          <w:szCs w:val="18"/>
        </w:rPr>
        <w:t>I</w:t>
      </w:r>
      <w:r w:rsidR="00BF5256" w:rsidRPr="00713DED">
        <w:rPr>
          <w:rFonts w:ascii="Arial" w:hAnsi="Arial" w:cs="Arial"/>
          <w:sz w:val="18"/>
          <w:szCs w:val="18"/>
        </w:rPr>
        <w:t>nformación presupuestal</w:t>
      </w:r>
      <w:r w:rsidR="00BB2713" w:rsidRPr="00713DED">
        <w:rPr>
          <w:rFonts w:ascii="Arial" w:hAnsi="Arial" w:cs="Arial"/>
          <w:sz w:val="18"/>
          <w:szCs w:val="18"/>
        </w:rPr>
        <w:t>:</w:t>
      </w:r>
    </w:p>
    <w:p w14:paraId="5614BC2A" w14:textId="77777777" w:rsidR="00BF5256" w:rsidRPr="00713DED" w:rsidRDefault="00DC3238" w:rsidP="00DC323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/>
        <w:ind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analítico de ingresos</w:t>
      </w:r>
    </w:p>
    <w:p w14:paraId="748379A3" w14:textId="77777777" w:rsidR="00BF5256" w:rsidRPr="00713DED" w:rsidRDefault="00BF5256" w:rsidP="00DC323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/>
        <w:ind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Estado analítico del ejercicio del presupuesto de egresos con las siguientes clasificaciones:</w:t>
      </w:r>
    </w:p>
    <w:p w14:paraId="72DE4F02" w14:textId="77777777" w:rsidR="00BF5256" w:rsidRPr="00713DED" w:rsidRDefault="00DC3238" w:rsidP="00DC3238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Administrativa</w:t>
      </w:r>
    </w:p>
    <w:p w14:paraId="5589F60A" w14:textId="77777777" w:rsidR="00BF5256" w:rsidRPr="00713DED" w:rsidRDefault="00DC3238" w:rsidP="00DC3238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P</w:t>
      </w:r>
      <w:r w:rsidR="00BF5256" w:rsidRPr="00713DED">
        <w:rPr>
          <w:rFonts w:ascii="Arial" w:hAnsi="Arial" w:cs="Arial"/>
          <w:sz w:val="18"/>
          <w:szCs w:val="18"/>
        </w:rPr>
        <w:t>or objeto del gasto</w:t>
      </w:r>
      <w:r w:rsidRPr="00713DED">
        <w:rPr>
          <w:rFonts w:ascii="Arial" w:hAnsi="Arial" w:cs="Arial"/>
          <w:sz w:val="18"/>
          <w:szCs w:val="18"/>
        </w:rPr>
        <w:t xml:space="preserve"> (capítulo y concepto)</w:t>
      </w:r>
    </w:p>
    <w:p w14:paraId="28B0B048" w14:textId="77777777" w:rsidR="00DC3238" w:rsidRPr="00713DED" w:rsidRDefault="00DC3238" w:rsidP="00DC3238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Económica (Por Tipo de Gasto)</w:t>
      </w:r>
    </w:p>
    <w:p w14:paraId="1D677B0C" w14:textId="77777777" w:rsidR="00BF5256" w:rsidRPr="00713DED" w:rsidRDefault="00BF5256" w:rsidP="00DC3238">
      <w:pPr>
        <w:pStyle w:val="Prrafodelista"/>
        <w:numPr>
          <w:ilvl w:val="1"/>
          <w:numId w:val="12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Funcional</w:t>
      </w:r>
      <w:r w:rsidR="00DC3238" w:rsidRPr="00713DED">
        <w:rPr>
          <w:rFonts w:ascii="Arial" w:hAnsi="Arial" w:cs="Arial"/>
          <w:sz w:val="18"/>
          <w:szCs w:val="18"/>
        </w:rPr>
        <w:t xml:space="preserve"> (Fin</w:t>
      </w:r>
      <w:r w:rsidR="00BB2713" w:rsidRPr="00713DED">
        <w:rPr>
          <w:rFonts w:ascii="Arial" w:hAnsi="Arial" w:cs="Arial"/>
          <w:sz w:val="18"/>
          <w:szCs w:val="18"/>
        </w:rPr>
        <w:t>alidad y Función)</w:t>
      </w:r>
    </w:p>
    <w:p w14:paraId="25E83A60" w14:textId="77777777" w:rsidR="00BF5256" w:rsidRPr="00713DED" w:rsidRDefault="00BB2713" w:rsidP="00DC323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/>
        <w:ind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Endeudamiento neto</w:t>
      </w:r>
    </w:p>
    <w:p w14:paraId="5914457F" w14:textId="77777777" w:rsidR="00BF5256" w:rsidRPr="00713DED" w:rsidRDefault="00BB2713" w:rsidP="00DC323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/>
        <w:ind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Intereses de la deuda</w:t>
      </w:r>
    </w:p>
    <w:p w14:paraId="79BB040E" w14:textId="77777777" w:rsidR="00BB2713" w:rsidRPr="00713DED" w:rsidRDefault="00BB2713" w:rsidP="00DC323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/>
        <w:ind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Indicadores de Postura Fiscal</w:t>
      </w:r>
    </w:p>
    <w:p w14:paraId="16979502" w14:textId="77777777" w:rsidR="00BB2713" w:rsidRPr="00713DED" w:rsidRDefault="00BB2713" w:rsidP="00BB2713">
      <w:pPr>
        <w:pStyle w:val="Prrafodelista"/>
        <w:autoSpaceDE w:val="0"/>
        <w:autoSpaceDN w:val="0"/>
        <w:adjustRightInd w:val="0"/>
        <w:spacing w:before="80" w:after="0"/>
        <w:jc w:val="both"/>
        <w:rPr>
          <w:rFonts w:ascii="Arial" w:hAnsi="Arial" w:cs="Arial"/>
          <w:sz w:val="18"/>
          <w:szCs w:val="18"/>
        </w:rPr>
      </w:pPr>
    </w:p>
    <w:p w14:paraId="503C3462" w14:textId="77777777" w:rsidR="00BB2713" w:rsidRPr="00713DED" w:rsidRDefault="00BB2713" w:rsidP="00BB2713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3.-</w:t>
      </w:r>
      <w:r w:rsidR="00BF5256" w:rsidRPr="00713DED">
        <w:rPr>
          <w:rFonts w:ascii="Arial" w:hAnsi="Arial" w:cs="Arial"/>
          <w:sz w:val="18"/>
          <w:szCs w:val="18"/>
        </w:rPr>
        <w:t xml:space="preserve"> </w:t>
      </w:r>
      <w:r w:rsidRPr="00713DED">
        <w:rPr>
          <w:rFonts w:ascii="Arial" w:hAnsi="Arial" w:cs="Arial"/>
          <w:sz w:val="18"/>
          <w:szCs w:val="18"/>
        </w:rPr>
        <w:t>I</w:t>
      </w:r>
      <w:r w:rsidR="00BF5256" w:rsidRPr="00713DED">
        <w:rPr>
          <w:rFonts w:ascii="Arial" w:hAnsi="Arial" w:cs="Arial"/>
          <w:sz w:val="18"/>
          <w:szCs w:val="18"/>
        </w:rPr>
        <w:t>nformación programática</w:t>
      </w:r>
      <w:r w:rsidRPr="00713DED">
        <w:rPr>
          <w:rFonts w:ascii="Arial" w:hAnsi="Arial" w:cs="Arial"/>
          <w:sz w:val="18"/>
          <w:szCs w:val="18"/>
        </w:rPr>
        <w:t>:</w:t>
      </w:r>
      <w:r w:rsidR="00BF5256" w:rsidRPr="00713DED">
        <w:rPr>
          <w:rFonts w:ascii="Arial" w:hAnsi="Arial" w:cs="Arial"/>
          <w:sz w:val="18"/>
          <w:szCs w:val="18"/>
        </w:rPr>
        <w:t xml:space="preserve"> </w:t>
      </w:r>
    </w:p>
    <w:p w14:paraId="30B27875" w14:textId="77777777" w:rsidR="00BF5256" w:rsidRPr="00713DED" w:rsidRDefault="00BF5256" w:rsidP="00BB271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G</w:t>
      </w:r>
      <w:r w:rsidR="00BB2713" w:rsidRPr="00713DED">
        <w:rPr>
          <w:rFonts w:ascii="Arial" w:hAnsi="Arial" w:cs="Arial"/>
          <w:sz w:val="18"/>
          <w:szCs w:val="18"/>
        </w:rPr>
        <w:t>asto por Categoría Programática</w:t>
      </w:r>
    </w:p>
    <w:p w14:paraId="49C3E6B6" w14:textId="77777777" w:rsidR="00BB2713" w:rsidRPr="00713DED" w:rsidRDefault="00BB2713" w:rsidP="00BB271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Programas y Proyectos de Inversión</w:t>
      </w:r>
    </w:p>
    <w:p w14:paraId="7B76B585" w14:textId="77777777" w:rsidR="00BB2713" w:rsidRPr="00713DED" w:rsidRDefault="00BB2713" w:rsidP="00BB271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Indicadores de Resultados</w:t>
      </w:r>
    </w:p>
    <w:p w14:paraId="141EB49E" w14:textId="77777777" w:rsidR="00BB2713" w:rsidRPr="00713DED" w:rsidRDefault="00BB2713" w:rsidP="00BB2713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4.- Anexos</w:t>
      </w:r>
    </w:p>
    <w:p w14:paraId="7903CA44" w14:textId="77777777" w:rsidR="00BB2713" w:rsidRPr="00713DED" w:rsidRDefault="00BB2713" w:rsidP="00BB271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Relación de bienes muebles</w:t>
      </w:r>
    </w:p>
    <w:p w14:paraId="21738DBD" w14:textId="77777777" w:rsidR="00BB2713" w:rsidRPr="00713DED" w:rsidRDefault="00BB2713" w:rsidP="00BB271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Relación de bienes inmuebles</w:t>
      </w:r>
    </w:p>
    <w:p w14:paraId="69114906" w14:textId="77777777" w:rsidR="00BB2713" w:rsidRDefault="00BB2713" w:rsidP="00713DE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Relación de cuentas bancarias productivas específicas</w:t>
      </w:r>
    </w:p>
    <w:p w14:paraId="572B6251" w14:textId="77777777" w:rsidR="007F2A9F" w:rsidRDefault="007F2A9F" w:rsidP="00713DE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Acumulados de Obra</w:t>
      </w:r>
    </w:p>
    <w:p w14:paraId="36678FEC" w14:textId="77777777" w:rsidR="007F2A9F" w:rsidRDefault="007F2A9F" w:rsidP="00713DE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Reporte de avance físico-financiero de programas</w:t>
      </w:r>
    </w:p>
    <w:p w14:paraId="3E092A0D" w14:textId="77777777" w:rsidR="007F2A9F" w:rsidRPr="00713DED" w:rsidRDefault="007F2A9F" w:rsidP="00713DE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Avance del Programa Operativo Anual</w:t>
      </w:r>
    </w:p>
    <w:p w14:paraId="009EFBFC" w14:textId="08736687" w:rsidR="00056042" w:rsidRPr="00713DED" w:rsidRDefault="00BB2713" w:rsidP="00713DE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713DED">
        <w:rPr>
          <w:rFonts w:ascii="Arial" w:hAnsi="Arial" w:cs="Arial"/>
          <w:sz w:val="18"/>
          <w:szCs w:val="18"/>
        </w:rPr>
        <w:t>Relación de esquemas bursátiles y de coberturas financiera</w:t>
      </w:r>
      <w:r w:rsidR="00415752">
        <w:rPr>
          <w:rFonts w:ascii="Arial" w:hAnsi="Arial" w:cs="Arial"/>
          <w:sz w:val="18"/>
          <w:szCs w:val="18"/>
        </w:rPr>
        <w:t>s</w:t>
      </w:r>
    </w:p>
    <w:sectPr w:rsidR="00056042" w:rsidRPr="00713DED" w:rsidSect="002A69FB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25AF" w14:textId="77777777" w:rsidR="00A94D81" w:rsidRDefault="00A94D81" w:rsidP="00EA5418">
      <w:pPr>
        <w:spacing w:after="0" w:line="240" w:lineRule="auto"/>
      </w:pPr>
      <w:r>
        <w:separator/>
      </w:r>
    </w:p>
  </w:endnote>
  <w:endnote w:type="continuationSeparator" w:id="0">
    <w:p w14:paraId="24D84AE6" w14:textId="77777777" w:rsidR="00A94D81" w:rsidRDefault="00A94D8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3EB8" w14:textId="77777777" w:rsidR="00DC3238" w:rsidRPr="0013011C" w:rsidRDefault="00A94D8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C6C09B1">
        <v:line id="12 Conector recto" o:spid="_x0000_s1026" style="position:absolute;left:0;text-align:left;flip:y;z-index:251667456;visibility:visible;mso-width-relative:margin" from="-51.55pt,-2.8pt" to="742.45pt,-1.5pt" strokecolor="#943634 [2405]" strokeweight="1.5pt"/>
      </w:pict>
    </w:r>
    <w:r w:rsidR="00DC3238">
      <w:rPr>
        <w:rFonts w:ascii="Soberana Sans Light" w:hAnsi="Soberana Sans Light"/>
      </w:rPr>
      <w:t>Introducción</w:t>
    </w:r>
    <w:r w:rsidR="00DC3238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052CD" w:rsidRPr="0013011C">
          <w:rPr>
            <w:rFonts w:ascii="Soberana Sans Light" w:hAnsi="Soberana Sans Light"/>
          </w:rPr>
          <w:fldChar w:fldCharType="begin"/>
        </w:r>
        <w:r w:rsidR="00DC3238" w:rsidRPr="0013011C">
          <w:rPr>
            <w:rFonts w:ascii="Soberana Sans Light" w:hAnsi="Soberana Sans Light"/>
          </w:rPr>
          <w:instrText>PAGE   \* MERGEFORMAT</w:instrText>
        </w:r>
        <w:r w:rsidR="002052CD" w:rsidRPr="0013011C">
          <w:rPr>
            <w:rFonts w:ascii="Soberana Sans Light" w:hAnsi="Soberana Sans Light"/>
          </w:rPr>
          <w:fldChar w:fldCharType="separate"/>
        </w:r>
        <w:r w:rsidR="00D86FE9" w:rsidRPr="00D86FE9">
          <w:rPr>
            <w:rFonts w:ascii="Soberana Sans Light" w:hAnsi="Soberana Sans Light"/>
            <w:noProof/>
            <w:lang w:val="es-ES"/>
          </w:rPr>
          <w:t>2</w:t>
        </w:r>
        <w:r w:rsidR="002052CD" w:rsidRPr="0013011C">
          <w:rPr>
            <w:rFonts w:ascii="Soberana Sans Light" w:hAnsi="Soberana Sans Light"/>
          </w:rPr>
          <w:fldChar w:fldCharType="end"/>
        </w:r>
      </w:sdtContent>
    </w:sdt>
  </w:p>
  <w:p w14:paraId="0A22E114" w14:textId="77777777" w:rsidR="00DC3238" w:rsidRDefault="00DC3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16F8" w14:textId="77777777" w:rsidR="00DC3238" w:rsidRPr="008E3652" w:rsidRDefault="00A94D8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57BCD8FD">
        <v:line id="3 Conector recto" o:spid="_x0000_s1025" style="position:absolute;left:0;text-align:left;flip:y;z-index:251661312;visibility:visible;mso-position-vertical:absolute;mso-width-relative:margin" from="-56.25pt,-.55pt" to="737.8pt,.75pt" strokecolor="#943634 [24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DC3238">
          <w:rPr>
            <w:rFonts w:ascii="Soberana Sans Light" w:hAnsi="Soberana Sans Light"/>
          </w:rPr>
          <w:t>Introducción</w:t>
        </w:r>
        <w:r w:rsidR="00DC3238" w:rsidRPr="008E3652">
          <w:rPr>
            <w:rFonts w:ascii="Soberana Sans Light" w:hAnsi="Soberana Sans Light"/>
          </w:rPr>
          <w:t xml:space="preserve"> / </w:t>
        </w:r>
        <w:r w:rsidR="002052CD" w:rsidRPr="008E3652">
          <w:rPr>
            <w:rFonts w:ascii="Soberana Sans Light" w:hAnsi="Soberana Sans Light"/>
          </w:rPr>
          <w:fldChar w:fldCharType="begin"/>
        </w:r>
        <w:r w:rsidR="00DC3238" w:rsidRPr="008E3652">
          <w:rPr>
            <w:rFonts w:ascii="Soberana Sans Light" w:hAnsi="Soberana Sans Light"/>
          </w:rPr>
          <w:instrText>PAGE   \* MERGEFORMAT</w:instrText>
        </w:r>
        <w:r w:rsidR="002052CD" w:rsidRPr="008E3652">
          <w:rPr>
            <w:rFonts w:ascii="Soberana Sans Light" w:hAnsi="Soberana Sans Light"/>
          </w:rPr>
          <w:fldChar w:fldCharType="separate"/>
        </w:r>
        <w:r w:rsidR="00D86FE9" w:rsidRPr="00D86FE9">
          <w:rPr>
            <w:rFonts w:ascii="Soberana Sans Light" w:hAnsi="Soberana Sans Light"/>
            <w:noProof/>
            <w:lang w:val="es-ES"/>
          </w:rPr>
          <w:t>1</w:t>
        </w:r>
        <w:r w:rsidR="002052CD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F23E" w14:textId="77777777" w:rsidR="00A94D81" w:rsidRDefault="00A94D81" w:rsidP="00EA5418">
      <w:pPr>
        <w:spacing w:after="0" w:line="240" w:lineRule="auto"/>
      </w:pPr>
      <w:r>
        <w:separator/>
      </w:r>
    </w:p>
  </w:footnote>
  <w:footnote w:type="continuationSeparator" w:id="0">
    <w:p w14:paraId="2A4219BB" w14:textId="77777777" w:rsidR="00A94D81" w:rsidRDefault="00A94D8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3307" w14:textId="77777777" w:rsidR="00DC3238" w:rsidRDefault="00A94D81">
    <w:pPr>
      <w:pStyle w:val="Encabezado"/>
    </w:pPr>
    <w:r>
      <w:rPr>
        <w:noProof/>
        <w:lang w:eastAsia="es-MX"/>
      </w:rPr>
      <w:pict w14:anchorId="328E8DC9">
        <v:group id="6 Grupo" o:spid="_x0000_s1029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3372;top:73;width:26262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>
              <w:txbxContent>
                <w:p w14:paraId="02DD4E56" w14:textId="77777777" w:rsidR="00DC3238" w:rsidRDefault="00DC323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7F12E658" w14:textId="77777777" w:rsidR="00DC3238" w:rsidRDefault="00DC3238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131BCB84" w14:textId="77777777" w:rsidR="00DC3238" w:rsidRPr="00275FC6" w:rsidRDefault="00DC3238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413F7242" w14:textId="60C0FEDF" w:rsidR="00DC3238" w:rsidRDefault="00DC3238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5E0CF2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3B530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3A0F12FC" w14:textId="77777777" w:rsidR="00DC3238" w:rsidRDefault="00DC3238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6F58328C" w14:textId="77777777" w:rsidR="00DC3238" w:rsidRPr="00275FC6" w:rsidRDefault="00DC3238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21E22785">
        <v:line id="4 Conector recto" o:spid="_x0000_s1028" style="position:absolute;flip:y;z-index:251663360;visibility:visible;mso-width-relative:margin" from="-57.75pt,25.2pt" to="736.25pt,26.5pt" strokecolor="#943634 [24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FA25" w14:textId="77777777" w:rsidR="00DC3238" w:rsidRPr="0013011C" w:rsidRDefault="00A94D8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C12E870">
        <v:polyline id="1 Conector recto" o:spid="_x0000_s1027" style="position:absolute;left:0;text-align:left;z-index:251659264;visibility:visible;mso-width-relative:margin" points="-56.05pt,15.5pt,737.25pt,16.35pt,738pt,14.2pt" coordsize="15881,43" strokecolor="#943634 [2405]" strokeweight="1.5pt">
          <v:path arrowok="t"/>
        </v:polyline>
      </w:pict>
    </w:r>
    <w:r w:rsidR="00DC3238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E185777"/>
    <w:multiLevelType w:val="hybridMultilevel"/>
    <w:tmpl w:val="6B0E8D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34A0D24"/>
    <w:multiLevelType w:val="hybridMultilevel"/>
    <w:tmpl w:val="AFCEFC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71E1"/>
    <w:multiLevelType w:val="hybridMultilevel"/>
    <w:tmpl w:val="5008C9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F68CA"/>
    <w:multiLevelType w:val="hybridMultilevel"/>
    <w:tmpl w:val="CEF875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19F9"/>
    <w:multiLevelType w:val="hybridMultilevel"/>
    <w:tmpl w:val="F3361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E993E50"/>
    <w:multiLevelType w:val="hybridMultilevel"/>
    <w:tmpl w:val="97D0B3D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24A74"/>
    <w:multiLevelType w:val="hybridMultilevel"/>
    <w:tmpl w:val="15666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893912">
    <w:abstractNumId w:val="0"/>
  </w:num>
  <w:num w:numId="2" w16cid:durableId="246380351">
    <w:abstractNumId w:val="2"/>
  </w:num>
  <w:num w:numId="3" w16cid:durableId="2014795083">
    <w:abstractNumId w:val="8"/>
  </w:num>
  <w:num w:numId="4" w16cid:durableId="1994946419">
    <w:abstractNumId w:val="6"/>
  </w:num>
  <w:num w:numId="5" w16cid:durableId="1041899555">
    <w:abstractNumId w:val="5"/>
  </w:num>
  <w:num w:numId="6" w16cid:durableId="698943020">
    <w:abstractNumId w:val="10"/>
  </w:num>
  <w:num w:numId="7" w16cid:durableId="1184785569">
    <w:abstractNumId w:val="13"/>
  </w:num>
  <w:num w:numId="8" w16cid:durableId="984166414">
    <w:abstractNumId w:val="12"/>
  </w:num>
  <w:num w:numId="9" w16cid:durableId="212426258">
    <w:abstractNumId w:val="4"/>
  </w:num>
  <w:num w:numId="10" w16cid:durableId="1770661402">
    <w:abstractNumId w:val="11"/>
  </w:num>
  <w:num w:numId="11" w16cid:durableId="432165002">
    <w:abstractNumId w:val="1"/>
  </w:num>
  <w:num w:numId="12" w16cid:durableId="2086106960">
    <w:abstractNumId w:val="9"/>
  </w:num>
  <w:num w:numId="13" w16cid:durableId="1548640844">
    <w:abstractNumId w:val="7"/>
  </w:num>
  <w:num w:numId="14" w16cid:durableId="5204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11741"/>
    <w:rsid w:val="00040466"/>
    <w:rsid w:val="00056042"/>
    <w:rsid w:val="00060C28"/>
    <w:rsid w:val="0007067A"/>
    <w:rsid w:val="000C6DB7"/>
    <w:rsid w:val="0013011C"/>
    <w:rsid w:val="0016313D"/>
    <w:rsid w:val="001646D9"/>
    <w:rsid w:val="001B1B72"/>
    <w:rsid w:val="002052CD"/>
    <w:rsid w:val="00214652"/>
    <w:rsid w:val="00222822"/>
    <w:rsid w:val="00226E6E"/>
    <w:rsid w:val="00260DD0"/>
    <w:rsid w:val="002620B0"/>
    <w:rsid w:val="0027583F"/>
    <w:rsid w:val="002865A7"/>
    <w:rsid w:val="00293A25"/>
    <w:rsid w:val="002A69FB"/>
    <w:rsid w:val="002A70B3"/>
    <w:rsid w:val="002E5897"/>
    <w:rsid w:val="00307635"/>
    <w:rsid w:val="003104B1"/>
    <w:rsid w:val="00312145"/>
    <w:rsid w:val="00316870"/>
    <w:rsid w:val="00332342"/>
    <w:rsid w:val="00355821"/>
    <w:rsid w:val="003575A4"/>
    <w:rsid w:val="003610E0"/>
    <w:rsid w:val="00372F40"/>
    <w:rsid w:val="003B530A"/>
    <w:rsid w:val="003D5DBF"/>
    <w:rsid w:val="003E7FD0"/>
    <w:rsid w:val="003F4C75"/>
    <w:rsid w:val="00415752"/>
    <w:rsid w:val="0044253C"/>
    <w:rsid w:val="00486AE1"/>
    <w:rsid w:val="00497D8B"/>
    <w:rsid w:val="004C45D9"/>
    <w:rsid w:val="004D41B8"/>
    <w:rsid w:val="00502D8E"/>
    <w:rsid w:val="005117F4"/>
    <w:rsid w:val="00522632"/>
    <w:rsid w:val="005243DE"/>
    <w:rsid w:val="00531310"/>
    <w:rsid w:val="00534982"/>
    <w:rsid w:val="00540418"/>
    <w:rsid w:val="00582405"/>
    <w:rsid w:val="005859FA"/>
    <w:rsid w:val="005C03A0"/>
    <w:rsid w:val="005E0CF2"/>
    <w:rsid w:val="006048D2"/>
    <w:rsid w:val="00611E39"/>
    <w:rsid w:val="006B729B"/>
    <w:rsid w:val="006E0148"/>
    <w:rsid w:val="006E6B8E"/>
    <w:rsid w:val="006E77DD"/>
    <w:rsid w:val="00713DED"/>
    <w:rsid w:val="00734218"/>
    <w:rsid w:val="00737FE4"/>
    <w:rsid w:val="0079582C"/>
    <w:rsid w:val="007D58AE"/>
    <w:rsid w:val="007D6E9A"/>
    <w:rsid w:val="007F2A9F"/>
    <w:rsid w:val="00850E90"/>
    <w:rsid w:val="008534A9"/>
    <w:rsid w:val="008655B1"/>
    <w:rsid w:val="008708D4"/>
    <w:rsid w:val="008856C7"/>
    <w:rsid w:val="008927CE"/>
    <w:rsid w:val="008A4931"/>
    <w:rsid w:val="008A6E4D"/>
    <w:rsid w:val="008B0017"/>
    <w:rsid w:val="008D4272"/>
    <w:rsid w:val="008E3652"/>
    <w:rsid w:val="00930267"/>
    <w:rsid w:val="009445D1"/>
    <w:rsid w:val="0096420C"/>
    <w:rsid w:val="009B51C3"/>
    <w:rsid w:val="009D6BB5"/>
    <w:rsid w:val="009E482F"/>
    <w:rsid w:val="00A14B74"/>
    <w:rsid w:val="00A242C2"/>
    <w:rsid w:val="00A60B89"/>
    <w:rsid w:val="00A679CD"/>
    <w:rsid w:val="00A72113"/>
    <w:rsid w:val="00A94D81"/>
    <w:rsid w:val="00AB13B7"/>
    <w:rsid w:val="00AC7B0E"/>
    <w:rsid w:val="00AD55C6"/>
    <w:rsid w:val="00AE12C9"/>
    <w:rsid w:val="00AE3F6E"/>
    <w:rsid w:val="00B04F4B"/>
    <w:rsid w:val="00B12361"/>
    <w:rsid w:val="00B17423"/>
    <w:rsid w:val="00B42A02"/>
    <w:rsid w:val="00B57A54"/>
    <w:rsid w:val="00B6284C"/>
    <w:rsid w:val="00B76ECB"/>
    <w:rsid w:val="00B849EE"/>
    <w:rsid w:val="00BB2713"/>
    <w:rsid w:val="00BC578C"/>
    <w:rsid w:val="00BF5256"/>
    <w:rsid w:val="00C07288"/>
    <w:rsid w:val="00C44F01"/>
    <w:rsid w:val="00CA2D37"/>
    <w:rsid w:val="00CA7C2B"/>
    <w:rsid w:val="00CC5CB6"/>
    <w:rsid w:val="00D055EC"/>
    <w:rsid w:val="00D36DE8"/>
    <w:rsid w:val="00D404ED"/>
    <w:rsid w:val="00D51261"/>
    <w:rsid w:val="00D748D3"/>
    <w:rsid w:val="00D77A8E"/>
    <w:rsid w:val="00D86FE9"/>
    <w:rsid w:val="00DC3238"/>
    <w:rsid w:val="00DD230F"/>
    <w:rsid w:val="00E01A69"/>
    <w:rsid w:val="00E21073"/>
    <w:rsid w:val="00E32708"/>
    <w:rsid w:val="00EA5418"/>
    <w:rsid w:val="00EB6A04"/>
    <w:rsid w:val="00EE0DD9"/>
    <w:rsid w:val="00F03222"/>
    <w:rsid w:val="00F6107C"/>
    <w:rsid w:val="00F82570"/>
    <w:rsid w:val="00F9551F"/>
    <w:rsid w:val="00F96944"/>
    <w:rsid w:val="00FB430B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90F65"/>
  <w15:docId w15:val="{CE751695-14E5-4993-8C65-ADCEDEC4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37FE4"/>
  </w:style>
  <w:style w:type="character" w:styleId="Textoennegrita">
    <w:name w:val="Strong"/>
    <w:basedOn w:val="Fuentedeprrafopredeter"/>
    <w:uiPriority w:val="22"/>
    <w:qFormat/>
    <w:rsid w:val="00737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1D1A-A596-4E0D-B5CE-7850A91D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737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Maribel</cp:lastModifiedBy>
  <cp:revision>45</cp:revision>
  <cp:lastPrinted>2019-10-03T16:42:00Z</cp:lastPrinted>
  <dcterms:created xsi:type="dcterms:W3CDTF">2014-09-01T14:30:00Z</dcterms:created>
  <dcterms:modified xsi:type="dcterms:W3CDTF">2022-07-06T17:44:00Z</dcterms:modified>
</cp:coreProperties>
</file>